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Гражданское право.</w:t>
      </w:r>
    </w:p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ГП -</w:t>
      </w:r>
      <w:r>
        <w:rPr>
          <w:sz w:val="28"/>
          <w:szCs w:val="28"/>
        </w:rPr>
        <w:t xml:space="preserve"> отрасль права, регулирующая нормальные, повседневные отношения людей.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имущественные отношения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личные неимущественные отношения, связанные с имуществом ( опубликование книги)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личные неимущественные отношения, не связанные с имуществом ( защита чести и достоинства)</w:t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Цивилистика</w:t>
      </w:r>
      <w:r>
        <w:rPr>
          <w:sz w:val="28"/>
          <w:szCs w:val="28"/>
        </w:rPr>
        <w:t xml:space="preserve"> – то же, что гражданское право.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Источники</w:t>
      </w:r>
      <w:r>
        <w:rPr>
          <w:sz w:val="28"/>
          <w:szCs w:val="28"/>
        </w:rPr>
        <w:t>: Гражданский кодекс, положения и инструкции</w:t>
      </w:r>
    </w:p>
    <w:p>
      <w:pPr>
        <w:pStyle w:val="Normal"/>
        <w:jc w:val="center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Принципы гражданского права: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равенство участников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-свобода договора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-неприкосновенность собственности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-невмешательство в частные дела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-беспрепятственное осуществление гражданских прав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-восстановление нарушенных прав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-судебная защита нарушенного права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Субъекты ГП: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граждане РФ, иностранцы и лица без гражданства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юридические лица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РФ, субъекты РФ, муниципальные образования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Дееспособность малолетних: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совершать мелкие бытовые сделки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субъекты авторского и изобретательского права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вносить на счет в банке деньги и распоряжаться ими, но не могут распоряжаться вкладами других людей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не могут распоряжаться имуществом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Дееспособность несовершеннолетних: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совершать мелкие бытовые сделки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субъекты авторского и изобретательского права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вносить в сбербанк деньги и распоряжаться ими, а также распоряжаться вкладами других людей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могут быть субъектами права наследования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не могут распоряжаться имуществом, купленным на стипендию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Объекты ГП: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вещи, деньги, ценные бумаги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недвижимые вещи - земельные участки и все, что с ними связано ( здания, предприятия, недра, космические объекты- все сделки подлежат государственной регистрации)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движимые вещи – вещи, перемещение которых возможно без несоразмерного ущерба их назначению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вещи, свободно участвующие в обороте - могут приобретаться без ограничений любыми субъектами гражданского права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вещи, ограниченные в обороте - оружие, летательные аппараты, яды.....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вещи, изъятые из оборота -собственность государства или других лиц- лес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делимые – при делении на части не теряют своей потребительской стоимости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неделимые - не могут делиться, так как потеряют своё назначение ( шкаф не будет больше шкафом)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родовые - присущи целой группе вещей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индивидуальные – эксклюзив- платье модельера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работы и услуги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результаты интеллектуальной деятельности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нематериальные блага.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Основное понятие ГП - сделка.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Сделка</w:t>
      </w:r>
      <w:r>
        <w:rPr>
          <w:sz w:val="28"/>
          <w:szCs w:val="28"/>
        </w:rPr>
        <w:t>- действие физических и юридических лиц, направленное на установление, изменение или прекращение гражданских прав и обязанностей.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Признаки сделки: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волевой акт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правомерное действие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порождает гражданские правоотношения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Условия действительности сделки:</w:t>
      </w:r>
    </w:p>
    <w:p>
      <w:pPr>
        <w:pStyle w:val="Normal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наличие субъектов сделки, обладающих дееспособностью</w:t>
      </w:r>
    </w:p>
    <w:p>
      <w:pPr>
        <w:pStyle w:val="Normal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волеизъявление сторон</w:t>
      </w:r>
    </w:p>
    <w:p>
      <w:pPr>
        <w:pStyle w:val="Normal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правомерность</w:t>
      </w:r>
    </w:p>
    <w:p>
      <w:pPr>
        <w:pStyle w:val="Normal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обличение в соответствующую форму - устную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  <w:t xml:space="preserve">- письменную    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>простая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>нотариальная</w:t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Конклюдентные  действия</w:t>
      </w:r>
      <w:r>
        <w:rPr>
          <w:sz w:val="28"/>
          <w:szCs w:val="28"/>
        </w:rPr>
        <w:t xml:space="preserve"> – действия лиц, которые выражены не волеизъявлением, а конкретным поведенческим актом ( приобретение товаров в магазинах самообслуживания, обмен валюты через автоматы)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Виды сделок:</w:t>
      </w:r>
    </w:p>
    <w:p>
      <w:pPr>
        <w:pStyle w:val="Normal"/>
        <w:rPr>
          <w:i/>
          <w:i/>
          <w:sz w:val="28"/>
          <w:szCs w:val="28"/>
        </w:rPr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4">
                <wp:simplePos x="0" y="0"/>
                <wp:positionH relativeFrom="column">
                  <wp:posOffset>1737995</wp:posOffset>
                </wp:positionH>
                <wp:positionV relativeFrom="paragraph">
                  <wp:posOffset>143510</wp:posOffset>
                </wp:positionV>
                <wp:extent cx="3302000" cy="475615"/>
                <wp:effectExtent l="10160" t="10795" r="22225" b="57150"/>
                <wp:wrapNone/>
                <wp:docPr id="1" name="Straight Arrow Connector 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1200" cy="4748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shapetype_32" coordsize="21600,21600" o:spt="32" path="m,l21600,21600nfe">
                <v:stroke joinstyle="miter"/>
                <v:path gradientshapeok="t" o:connecttype="rect" textboxrect="0,0,21600,21600"/>
              </v:shapetype>
              <v:shape id="shape_0" ID="Straight Arrow Connector 13" stroked="t" style="position:absolute;margin-left:136.85pt;margin-top:11.3pt;width:259.9pt;height:37.35pt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</w:r>
      <w:r>
        <w:rPr>
          <w:i/>
          <w:sz w:val="28"/>
          <w:szCs w:val="28"/>
        </w:rPr>
        <w:t>по числу участников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562610</wp:posOffset>
                </wp:positionH>
                <wp:positionV relativeFrom="paragraph">
                  <wp:posOffset>34290</wp:posOffset>
                </wp:positionV>
                <wp:extent cx="190500" cy="380365"/>
                <wp:effectExtent l="53975" t="10795" r="13335" b="38100"/>
                <wp:wrapNone/>
                <wp:docPr id="2" name="Straight Arrow Connector 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89720" cy="379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1" stroked="t" style="position:absolute;margin-left:44.3pt;margin-top:2.7pt;width:14.9pt;height:29.85pt;flip:x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3">
                <wp:simplePos x="0" y="0"/>
                <wp:positionH relativeFrom="column">
                  <wp:posOffset>1250950</wp:posOffset>
                </wp:positionH>
                <wp:positionV relativeFrom="paragraph">
                  <wp:posOffset>34290</wp:posOffset>
                </wp:positionV>
                <wp:extent cx="1532890" cy="380365"/>
                <wp:effectExtent l="8890" t="10795" r="30480" b="57150"/>
                <wp:wrapNone/>
                <wp:docPr id="3" name="Straight Arrow Connector 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2160" cy="379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2" stroked="t" style="position:absolute;margin-left:98.5pt;margin-top:2.7pt;width:120.6pt;height:29.85pt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односторонняя                         двусторонняя                      многосторонняя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behindDoc="0" distT="0" distB="0" distL="114300" distR="113665" simplePos="0" locked="0" layoutInCell="1" allowOverlap="1" relativeHeight="5">
                <wp:simplePos x="0" y="0"/>
                <wp:positionH relativeFrom="column">
                  <wp:posOffset>3079750</wp:posOffset>
                </wp:positionH>
                <wp:positionV relativeFrom="paragraph">
                  <wp:posOffset>38735</wp:posOffset>
                </wp:positionV>
                <wp:extent cx="321310" cy="154940"/>
                <wp:effectExtent l="8890" t="10795" r="41910" b="53975"/>
                <wp:wrapNone/>
                <wp:docPr id="4" name="Straight Arrow Connector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760" cy="154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9" stroked="t" style="position:absolute;margin-left:242.5pt;margin-top:3.05pt;width:25.2pt;height:12.1pt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6">
                <wp:simplePos x="0" y="0"/>
                <wp:positionH relativeFrom="column">
                  <wp:posOffset>3626485</wp:posOffset>
                </wp:positionH>
                <wp:positionV relativeFrom="paragraph">
                  <wp:posOffset>38735</wp:posOffset>
                </wp:positionV>
                <wp:extent cx="1271270" cy="154940"/>
                <wp:effectExtent l="22225" t="10795" r="12065" b="53975"/>
                <wp:wrapNone/>
                <wp:docPr id="5" name="Straight Arrow Connector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70800" cy="154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0" stroked="t" style="position:absolute;margin-left:285.55pt;margin-top:3.05pt;width:100pt;height:12.1pt;flip:x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</w:r>
    </w:p>
    <w:p>
      <w:pPr>
        <w:pStyle w:val="Normal"/>
        <w:rPr>
          <w:sz w:val="28"/>
          <w:szCs w:val="28"/>
        </w:rPr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7">
                <wp:simplePos x="0" y="0"/>
                <wp:positionH relativeFrom="column">
                  <wp:posOffset>2711450</wp:posOffset>
                </wp:positionH>
                <wp:positionV relativeFrom="paragraph">
                  <wp:posOffset>119380</wp:posOffset>
                </wp:positionV>
                <wp:extent cx="440055" cy="297815"/>
                <wp:effectExtent l="41275" t="10160" r="5080" b="54610"/>
                <wp:wrapNone/>
                <wp:docPr id="6" name="Straight Arrow Connector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39560" cy="2973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8" stroked="t" style="position:absolute;margin-left:213.5pt;margin-top:9.4pt;width:34.55pt;height:23.35pt;flip:x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3665" simplePos="0" locked="0" layoutInCell="1" allowOverlap="1" relativeHeight="8">
                <wp:simplePos x="0" y="0"/>
                <wp:positionH relativeFrom="column">
                  <wp:posOffset>3911600</wp:posOffset>
                </wp:positionH>
                <wp:positionV relativeFrom="paragraph">
                  <wp:posOffset>119380</wp:posOffset>
                </wp:positionV>
                <wp:extent cx="986155" cy="297815"/>
                <wp:effectExtent l="12065" t="10160" r="31115" b="54610"/>
                <wp:wrapNone/>
                <wp:docPr id="7" name="Straight Arrow Connector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5680" cy="2973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7" stroked="t" style="position:absolute;margin-left:308pt;margin-top:9.4pt;width:77.55pt;height:23.35pt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</w:r>
      <w:r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>договор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>возмездный                         безвозмездный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Виды договоров: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направленные на передачу имущества в собственность ( купля-продажа, поставка, дарение, заем и др.)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имеющие целью передачу имущества во временное пользование ( аренда, договор найма жилого помещения и др.)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о выполнении работ ( подряда, строительства и др.)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об оказании услуг ( перевозка, поручение, хранение, комиссия и др.)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иные договора ( страхование, совместная деятельность и др.)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i/>
          <w:sz w:val="28"/>
          <w:szCs w:val="28"/>
        </w:rPr>
        <w:t>Публичный договор</w:t>
      </w:r>
      <w:r>
        <w:rPr>
          <w:sz w:val="28"/>
          <w:szCs w:val="28"/>
        </w:rPr>
        <w:t xml:space="preserve"> – гражданско – правовой договор, заключаемый коммерческой  организацией и устанавливающий её обязанности по продаже товаров, оказанию услуг или выполнению работ, которые такая организация должна осуществлять в отношении каждого, который к ней обращается (розничная торговля, гостиничное обслуживание…)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i/>
          <w:sz w:val="28"/>
          <w:szCs w:val="28"/>
        </w:rPr>
        <w:t>Договор доверительства</w:t>
      </w:r>
      <w:r>
        <w:rPr>
          <w:sz w:val="28"/>
          <w:szCs w:val="28"/>
        </w:rPr>
        <w:t xml:space="preserve"> – гражданско-правовой договор, при котором одна сторона ( учредитель управления) передаёт другой стороне (доверительному управляемому) на определённый срок имущество, а другая сторона обязуется осуществлять управление этим имуществом в интересах учредителя или указанного им лица ( выгодоприобретателя).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Порядок заключения договора:</w:t>
      </w:r>
    </w:p>
    <w:p>
      <w:pPr>
        <w:pStyle w:val="Normal"/>
        <w:numPr>
          <w:ilvl w:val="0"/>
          <w:numId w:val="8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Оферта-</w:t>
      </w:r>
      <w:r>
        <w:rPr>
          <w:sz w:val="28"/>
          <w:szCs w:val="28"/>
        </w:rPr>
        <w:t xml:space="preserve"> предложение, которое адресовано конкретному лицу и содержит существенные условия договора.</w:t>
      </w:r>
    </w:p>
    <w:p>
      <w:pPr>
        <w:pStyle w:val="Normal"/>
        <w:numPr>
          <w:ilvl w:val="0"/>
          <w:numId w:val="8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Акцепт</w:t>
      </w:r>
      <w:r>
        <w:rPr>
          <w:sz w:val="28"/>
          <w:szCs w:val="28"/>
        </w:rPr>
        <w:t>-ответ лица, которому адресована оферта о её безоговорочном принятии. Если лицо посылает свои условия договора, его ответ будет называться контрофертой.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по месту возникновения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behindDoc="0" distT="0" distB="0" distL="114300" distR="114300" simplePos="0" locked="0" layoutInCell="1" allowOverlap="1" relativeHeight="9">
                <wp:simplePos x="0" y="0"/>
                <wp:positionH relativeFrom="column">
                  <wp:posOffset>811530</wp:posOffset>
                </wp:positionH>
                <wp:positionV relativeFrom="paragraph">
                  <wp:posOffset>71755</wp:posOffset>
                </wp:positionV>
                <wp:extent cx="646430" cy="236220"/>
                <wp:effectExtent l="36195" t="9525" r="13335" b="59690"/>
                <wp:wrapNone/>
                <wp:docPr id="8" name="Straight Arrow Connector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45840" cy="235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5" stroked="t" style="position:absolute;margin-left:63.9pt;margin-top:5.65pt;width:50.8pt;height:18.5pt;flip:x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4">
                <wp:simplePos x="0" y="0"/>
                <wp:positionH relativeFrom="column">
                  <wp:posOffset>1702435</wp:posOffset>
                </wp:positionH>
                <wp:positionV relativeFrom="paragraph">
                  <wp:posOffset>71755</wp:posOffset>
                </wp:positionV>
                <wp:extent cx="1459230" cy="236220"/>
                <wp:effectExtent l="12700" t="9525" r="24130" b="59690"/>
                <wp:wrapNone/>
                <wp:docPr id="9" name="Straight Arrow Connector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8720" cy="235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6" stroked="t" style="position:absolute;margin-left:134.05pt;margin-top:5.65pt;width:114.8pt;height:18.5pt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реальные                                                        консенсуальные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( передача вещи - дарение)                    (достаточно достижения соглашения)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i/>
          <w:i/>
          <w:sz w:val="28"/>
          <w:szCs w:val="28"/>
        </w:rPr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12">
                <wp:simplePos x="0" y="0"/>
                <wp:positionH relativeFrom="column">
                  <wp:posOffset>911225</wp:posOffset>
                </wp:positionH>
                <wp:positionV relativeFrom="paragraph">
                  <wp:posOffset>142240</wp:posOffset>
                </wp:positionV>
                <wp:extent cx="2397760" cy="261620"/>
                <wp:effectExtent l="12065" t="6985" r="19685" b="55880"/>
                <wp:wrapNone/>
                <wp:docPr id="10" name="Straight Arrow Connector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7240" cy="2610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4" stroked="t" style="position:absolute;margin-left:71.75pt;margin-top:11.2pt;width:188.7pt;height:20.5pt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</w:r>
      <w:r>
        <w:rPr>
          <w:i/>
          <w:sz w:val="28"/>
          <w:szCs w:val="28"/>
        </w:rPr>
        <w:t>по срокам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behindDoc="0" distT="0" distB="0" distL="114300" distR="114300" simplePos="0" locked="0" layoutInCell="1" allowOverlap="1" relativeHeight="10">
                <wp:simplePos x="0" y="0"/>
                <wp:positionH relativeFrom="column">
                  <wp:posOffset>681355</wp:posOffset>
                </wp:positionH>
                <wp:positionV relativeFrom="paragraph">
                  <wp:posOffset>64135</wp:posOffset>
                </wp:positionV>
                <wp:extent cx="66040" cy="236220"/>
                <wp:effectExtent l="10795" t="9525" r="57150" b="31115"/>
                <wp:wrapNone/>
                <wp:docPr id="11" name="Straight Arrow Connector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20" cy="235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3" stroked="t" style="position:absolute;margin-left:53.65pt;margin-top:5.05pt;width:5.1pt;height:18.5pt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срочные                                                            бессрочные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по основе сделки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behindDoc="0" distT="0" distB="0" distL="114300" distR="114300" simplePos="0" locked="0" layoutInCell="1" allowOverlap="1" relativeHeight="11">
                <wp:simplePos x="0" y="0"/>
                <wp:positionH relativeFrom="column">
                  <wp:posOffset>911225</wp:posOffset>
                </wp:positionH>
                <wp:positionV relativeFrom="paragraph">
                  <wp:posOffset>18415</wp:posOffset>
                </wp:positionV>
                <wp:extent cx="0" cy="277495"/>
                <wp:effectExtent l="59690" t="10160" r="54610" b="17780"/>
                <wp:wrapNone/>
                <wp:docPr id="12" name="Straight Arrow Connector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" cy="2768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1" stroked="t" style="position:absolute;margin-left:-1779.85pt;margin-top:1.45pt;width:1851.6pt;height:21.75pt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3">
                <wp:simplePos x="0" y="0"/>
                <wp:positionH relativeFrom="column">
                  <wp:posOffset>1457325</wp:posOffset>
                </wp:positionH>
                <wp:positionV relativeFrom="paragraph">
                  <wp:posOffset>18415</wp:posOffset>
                </wp:positionV>
                <wp:extent cx="2171700" cy="277495"/>
                <wp:effectExtent l="5715" t="10160" r="23495" b="55880"/>
                <wp:wrapNone/>
                <wp:docPr id="13" name="Straight Arrow Connector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160" cy="2768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aight Arrow Connector 2" stroked="t" style="position:absolute;margin-left:114.75pt;margin-top:1.45pt;width:170.9pt;height:21.75pt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плановые                                                                    неплановые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ГП ответственность</w:t>
      </w:r>
      <w:r>
        <w:rPr>
          <w:sz w:val="28"/>
          <w:szCs w:val="28"/>
        </w:rPr>
        <w:t>- реакция государства на неправомерное поведение, которое влечет неблагоприятные последствия для нарушителей.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Признаки ГП ответственности:</w:t>
      </w:r>
    </w:p>
    <w:p>
      <w:pPr>
        <w:pStyle w:val="Normal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носит компенсационный характер</w:t>
      </w:r>
    </w:p>
    <w:p>
      <w:pPr>
        <w:pStyle w:val="Normal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носит имущественный характер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Реальный ущерб-</w:t>
      </w:r>
      <w:r>
        <w:rPr>
          <w:sz w:val="28"/>
          <w:szCs w:val="28"/>
        </w:rPr>
        <w:t xml:space="preserve"> утрата или повреждение имущества, а также расходы для возвращения имущественного положения.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Упущенная выгода </w:t>
      </w:r>
      <w:r>
        <w:rPr>
          <w:sz w:val="28"/>
          <w:szCs w:val="28"/>
        </w:rPr>
        <w:t>- неполученные доходы, которые потерпевшая сторона могла бы получить если бы не было нарушено её право.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Способы защиты гражданских прав:</w:t>
      </w:r>
    </w:p>
    <w:p>
      <w:pPr>
        <w:pStyle w:val="Normal"/>
        <w:numPr>
          <w:ilvl w:val="1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признание права (оформление документов)</w:t>
      </w:r>
    </w:p>
    <w:p>
      <w:pPr>
        <w:pStyle w:val="Normal"/>
        <w:numPr>
          <w:ilvl w:val="1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восстановление положения, существовавшего до нарушения права</w:t>
      </w:r>
    </w:p>
    <w:p>
      <w:pPr>
        <w:pStyle w:val="Normal"/>
        <w:numPr>
          <w:ilvl w:val="1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возмещение убытков и взыскание неустойки</w:t>
      </w:r>
    </w:p>
    <w:p>
      <w:pPr>
        <w:pStyle w:val="Normal"/>
        <w:numPr>
          <w:ilvl w:val="1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компенсация морального вреда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Институты ГП.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Право собственности.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Основания возникновения права собственности:</w:t>
      </w:r>
    </w:p>
    <w:p>
      <w:pPr>
        <w:pStyle w:val="Normal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первоначальные способы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>- создание новой вещи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>- переработка, сбор, добыча доступных для этих целей вещей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-самовольная постройка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>- приобретение права собственности на бесхозное имущество</w:t>
      </w:r>
    </w:p>
    <w:p>
      <w:pPr>
        <w:pStyle w:val="Normal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производные способы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>- на основании договора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-наследование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-правопреемство при реорганизации юридического лица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Прекращение права собственности:</w:t>
      </w:r>
    </w:p>
    <w:p>
      <w:pPr>
        <w:pStyle w:val="Normal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по воле собственника</w:t>
      </w:r>
    </w:p>
    <w:p>
      <w:pPr>
        <w:pStyle w:val="Normal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отказ</w:t>
      </w:r>
    </w:p>
    <w:p>
      <w:pPr>
        <w:pStyle w:val="Normal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гибель вещи</w:t>
      </w:r>
    </w:p>
    <w:p>
      <w:pPr>
        <w:pStyle w:val="Normal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потеря</w:t>
      </w:r>
    </w:p>
    <w:p>
      <w:pPr>
        <w:pStyle w:val="Normal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принудительное изъятие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Виды защиты права собственности:</w:t>
      </w:r>
    </w:p>
    <w:p>
      <w:pPr>
        <w:pStyle w:val="Normal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виндикационный иск - об истребовании имущества из чужого незаконного владения</w:t>
      </w:r>
    </w:p>
    <w:p>
      <w:pPr>
        <w:pStyle w:val="Normal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негаторный иск - об устранении препятствий в пользовании имуществом, несвязанное с лишением владения вещью</w:t>
      </w:r>
    </w:p>
    <w:p>
      <w:pPr>
        <w:pStyle w:val="Normal"/>
        <w:rPr>
          <w:sz w:val="28"/>
          <w:szCs w:val="28"/>
        </w:rPr>
      </w:pPr>
      <w:r>
        <w:rPr>
          <w:bCs/>
          <w:i/>
          <w:sz w:val="28"/>
          <w:szCs w:val="28"/>
        </w:rPr>
        <w:t>Сервитут</w:t>
      </w:r>
      <w:r>
        <w:rPr>
          <w:b/>
          <w:bCs/>
          <w:sz w:val="28"/>
          <w:szCs w:val="28"/>
        </w:rPr>
        <w:t>-</w:t>
      </w:r>
      <w:r>
        <w:rPr>
          <w:sz w:val="28"/>
          <w:szCs w:val="28"/>
        </w:rPr>
        <w:t xml:space="preserve"> ограничение права на вещь, которое существует одновременно с правом собственности на ту же самую вещь. ( право ограниченного пользования соседским участком)</w:t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Титульный владелец</w:t>
      </w:r>
      <w:r>
        <w:rPr>
          <w:sz w:val="28"/>
          <w:szCs w:val="28"/>
        </w:rPr>
        <w:t xml:space="preserve"> – законный владелец вещи, который имеет возможность хозяйственного господства над вещью( арендатор, носитель, комиссионер).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Обязательство</w:t>
      </w:r>
      <w:r>
        <w:rPr>
          <w:sz w:val="28"/>
          <w:szCs w:val="28"/>
        </w:rPr>
        <w:t>- правоотношение, стороны которого называются кредитор и должник.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Способы обеспечения обязательств:</w:t>
      </w:r>
    </w:p>
    <w:p>
      <w:pPr>
        <w:pStyle w:val="Normal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неустойка в виде штрафа или пени</w:t>
      </w:r>
    </w:p>
    <w:p>
      <w:pPr>
        <w:pStyle w:val="Normal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удержание- удерживание вещи кредитором до полного исполнения обязательства</w:t>
      </w:r>
    </w:p>
    <w:p>
      <w:pPr>
        <w:pStyle w:val="Normal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поручительство</w:t>
      </w:r>
    </w:p>
    <w:p>
      <w:pPr>
        <w:pStyle w:val="Normal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 xml:space="preserve">залог. </w:t>
      </w:r>
      <w:r>
        <w:rPr>
          <w:b/>
          <w:bCs/>
          <w:sz w:val="28"/>
          <w:szCs w:val="28"/>
        </w:rPr>
        <w:t>Ипотека</w:t>
      </w:r>
      <w:r>
        <w:rPr>
          <w:sz w:val="28"/>
          <w:szCs w:val="28"/>
        </w:rPr>
        <w:t>- залог без передачи вещи залогодержателю</w:t>
      </w:r>
    </w:p>
    <w:p>
      <w:pPr>
        <w:pStyle w:val="Normal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банковская гарантия - обязательство банка, данное по просьбе должника,  об уплате его кредитору денежной суммы по представлении им письменного требования.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sz w:val="28"/>
          <w:szCs w:val="28"/>
        </w:rPr>
        <w:t>Если на стороне должника несколько лиц ответственность между ними может быть: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sz w:val="28"/>
          <w:szCs w:val="28"/>
        </w:rPr>
        <w:t>-долевой – когда ущерб возмещается каждым отдельно в соответствие со своей долей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sz w:val="28"/>
          <w:szCs w:val="28"/>
        </w:rPr>
        <w:t>-солидарной – когда кредитор вправе предъявить требование к любому из должников в полном объёме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sz w:val="28"/>
          <w:szCs w:val="28"/>
        </w:rPr>
        <w:t>-совместной – когда иск можно предъявить только ко всем вместе должникам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sz w:val="28"/>
          <w:szCs w:val="28"/>
        </w:rPr>
        <w:t>-субсидарной – есть основной должник, дополнительно к ответственности других людей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sz w:val="28"/>
          <w:szCs w:val="28"/>
        </w:rPr>
        <w:t>-регрессной - когда одно лицо отвечает за действия других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Наследственное право.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Основания наследования:</w:t>
      </w:r>
    </w:p>
    <w:p>
      <w:pPr>
        <w:pStyle w:val="Normal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по завещанию. Завещатель может завещать имущество любым лицам, самостоятельно определить доли наследников. Необходимыми наследниками являются: несовершеннолетние или нетрудоспособные дети наследователя, нетрудоспособный супруг или родители, нетрудоспособные иждивенцы. Они наследуют не менее половины доли, которая причиталась бы каждому при наследовании по закону.</w:t>
      </w:r>
    </w:p>
    <w:p>
      <w:pPr>
        <w:pStyle w:val="Normal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 xml:space="preserve">По закону. 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 очередей наследования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1. супруг, родители, дети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2. родные братья и сестры, дедушки и бабушки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3. родные дяди и тети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4.прабабушки и прадедушки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5.дети племянников и племянниц, родные сестры и братья бабушек и дедушек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6.внуки племянников и племянниц, дети двоюродных братьев и сестер, двоюродные тети и дяди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7. пасынки, падчерицы, отчим и мачеха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8.проживающие на иждивении не менее 1 года</w:t>
      </w:r>
    </w:p>
    <w:p>
      <w:pPr>
        <w:pStyle w:val="Normal"/>
        <w:rPr>
          <w:i/>
          <w:i/>
          <w:iCs/>
          <w:sz w:val="28"/>
          <w:szCs w:val="28"/>
        </w:rPr>
      </w:pPr>
      <w:r>
        <w:rPr>
          <w:sz w:val="28"/>
          <w:szCs w:val="28"/>
        </w:rPr>
        <w:t>Вступают в права наследования</w:t>
      </w:r>
      <w:r>
        <w:rPr>
          <w:i/>
          <w:iCs/>
          <w:sz w:val="28"/>
          <w:szCs w:val="28"/>
        </w:rPr>
        <w:t xml:space="preserve"> в течение  6 месяцев после его открытия.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Не наследуют:</w:t>
      </w:r>
    </w:p>
    <w:p>
      <w:pPr>
        <w:pStyle w:val="Normal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совершившие умышленные противоправные действия против наследователя или наследников</w:t>
      </w:r>
    </w:p>
    <w:p>
      <w:pPr>
        <w:pStyle w:val="Normal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родители, лишенные родительских прав</w:t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Завещательный отказ</w:t>
      </w:r>
      <w:r>
        <w:rPr>
          <w:sz w:val="28"/>
          <w:szCs w:val="28"/>
        </w:rPr>
        <w:t xml:space="preserve"> – возложение на наследника по завещанию исполнение какого-либо обязательства в пользу другого лица ( пожизненное использование дома)</w:t>
      </w:r>
    </w:p>
    <w:p>
      <w:pPr>
        <w:pStyle w:val="Normal"/>
        <w:jc w:val="center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Дела, рассматриваемые в гражданском судебном процессе:</w:t>
      </w:r>
    </w:p>
    <w:p>
      <w:pPr>
        <w:pStyle w:val="Normal"/>
        <w:numPr>
          <w:ilvl w:val="1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исковые дела</w:t>
      </w:r>
    </w:p>
    <w:p>
      <w:pPr>
        <w:pStyle w:val="Normal"/>
        <w:numPr>
          <w:ilvl w:val="1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судебный приказ – судебное постановление, вынесенное судьёй единолично на основании заявления о взыскании денежных сумм или об истребовании движимого имущества от должника по требованиям, установленным законом</w:t>
      </w:r>
    </w:p>
    <w:p>
      <w:pPr>
        <w:pStyle w:val="Normal"/>
        <w:numPr>
          <w:ilvl w:val="1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производство по делам, возникающим из публичных правоотношений (административное, налоговое, избирательное право)</w:t>
      </w:r>
    </w:p>
    <w:p>
      <w:pPr>
        <w:pStyle w:val="Normal"/>
        <w:numPr>
          <w:ilvl w:val="1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дела особого производства (установление судом юридических фактов, правового состояния лица, наличия или отсутствия бесспорных прав)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1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95ad5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imes New Roman"/>
      <w:color w:val="auto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OpenSymbol"/>
      <w:sz w:val="28"/>
    </w:rPr>
  </w:style>
  <w:style w:type="character" w:styleId="ListLabel2">
    <w:name w:val="ListLabel 2"/>
    <w:qFormat/>
    <w:rPr>
      <w:rFonts w:cs="OpenSymbol"/>
    </w:rPr>
  </w:style>
  <w:style w:type="character" w:styleId="ListLabel3">
    <w:name w:val="ListLabel 3"/>
    <w:qFormat/>
    <w:rPr>
      <w:rFonts w:cs="OpenSymbol"/>
    </w:rPr>
  </w:style>
  <w:style w:type="character" w:styleId="ListLabel4">
    <w:name w:val="ListLabel 4"/>
    <w:qFormat/>
    <w:rPr>
      <w:rFonts w:cs="OpenSymbol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character" w:styleId="ListLabel10">
    <w:name w:val="ListLabel 10"/>
    <w:qFormat/>
    <w:rPr>
      <w:rFonts w:cs="OpenSymbol"/>
      <w:sz w:val="28"/>
    </w:rPr>
  </w:style>
  <w:style w:type="character" w:styleId="ListLabel11">
    <w:name w:val="ListLabel 11"/>
    <w:qFormat/>
    <w:rPr>
      <w:rFonts w:cs="OpenSymbol"/>
    </w:rPr>
  </w:style>
  <w:style w:type="character" w:styleId="ListLabel12">
    <w:name w:val="ListLabel 12"/>
    <w:qFormat/>
    <w:rPr>
      <w:rFonts w:cs="OpenSymbol"/>
    </w:rPr>
  </w:style>
  <w:style w:type="character" w:styleId="ListLabel13">
    <w:name w:val="ListLabel 13"/>
    <w:qFormat/>
    <w:rPr>
      <w:rFonts w:cs="OpenSymbol"/>
    </w:rPr>
  </w:style>
  <w:style w:type="character" w:styleId="ListLabel14">
    <w:name w:val="ListLabel 14"/>
    <w:qFormat/>
    <w:rPr>
      <w:rFonts w:cs="OpenSymbol"/>
    </w:rPr>
  </w:style>
  <w:style w:type="character" w:styleId="ListLabel15">
    <w:name w:val="ListLabel 15"/>
    <w:qFormat/>
    <w:rPr>
      <w:rFonts w:cs="OpenSymbol"/>
    </w:rPr>
  </w:style>
  <w:style w:type="character" w:styleId="ListLabel16">
    <w:name w:val="ListLabel 16"/>
    <w:qFormat/>
    <w:rPr>
      <w:rFonts w:cs="OpenSymbol"/>
    </w:rPr>
  </w:style>
  <w:style w:type="character" w:styleId="ListLabel17">
    <w:name w:val="ListLabel 17"/>
    <w:qFormat/>
    <w:rPr>
      <w:rFonts w:cs="OpenSymbol"/>
    </w:rPr>
  </w:style>
  <w:style w:type="character" w:styleId="ListLabel18">
    <w:name w:val="ListLabel 18"/>
    <w:qFormat/>
    <w:rPr>
      <w:rFonts w:cs="OpenSymbol"/>
    </w:rPr>
  </w:style>
  <w:style w:type="character" w:styleId="ListLabel19">
    <w:name w:val="ListLabel 19"/>
    <w:qFormat/>
    <w:rPr>
      <w:rFonts w:cs="OpenSymbol"/>
      <w:sz w:val="28"/>
    </w:rPr>
  </w:style>
  <w:style w:type="character" w:styleId="ListLabel20">
    <w:name w:val="ListLabel 20"/>
    <w:qFormat/>
    <w:rPr>
      <w:rFonts w:cs="OpenSymbol"/>
    </w:rPr>
  </w:style>
  <w:style w:type="character" w:styleId="ListLabel21">
    <w:name w:val="ListLabel 21"/>
    <w:qFormat/>
    <w:rPr>
      <w:rFonts w:cs="OpenSymbol"/>
    </w:rPr>
  </w:style>
  <w:style w:type="character" w:styleId="ListLabel22">
    <w:name w:val="ListLabel 22"/>
    <w:qFormat/>
    <w:rPr>
      <w:rFonts w:cs="OpenSymbol"/>
    </w:rPr>
  </w:style>
  <w:style w:type="character" w:styleId="ListLabel23">
    <w:name w:val="ListLabel 23"/>
    <w:qFormat/>
    <w:rPr>
      <w:rFonts w:cs="OpenSymbol"/>
    </w:rPr>
  </w:style>
  <w:style w:type="character" w:styleId="ListLabel24">
    <w:name w:val="ListLabel 24"/>
    <w:qFormat/>
    <w:rPr>
      <w:rFonts w:cs="OpenSymbol"/>
    </w:rPr>
  </w:style>
  <w:style w:type="character" w:styleId="ListLabel25">
    <w:name w:val="ListLabel 25"/>
    <w:qFormat/>
    <w:rPr>
      <w:rFonts w:cs="OpenSymbol"/>
    </w:rPr>
  </w:style>
  <w:style w:type="character" w:styleId="ListLabel26">
    <w:name w:val="ListLabel 26"/>
    <w:qFormat/>
    <w:rPr>
      <w:rFonts w:cs="OpenSymbol"/>
    </w:rPr>
  </w:style>
  <w:style w:type="character" w:styleId="ListLabel27">
    <w:name w:val="ListLabel 27"/>
    <w:qFormat/>
    <w:rPr>
      <w:rFonts w:cs="OpenSymbol"/>
    </w:rPr>
  </w:style>
  <w:style w:type="character" w:styleId="ListLabel28">
    <w:name w:val="ListLabel 28"/>
    <w:qFormat/>
    <w:rPr>
      <w:rFonts w:cs="OpenSymbol"/>
      <w:sz w:val="28"/>
    </w:rPr>
  </w:style>
  <w:style w:type="character" w:styleId="ListLabel29">
    <w:name w:val="ListLabel 29"/>
    <w:qFormat/>
    <w:rPr>
      <w:rFonts w:cs="OpenSymbol"/>
    </w:rPr>
  </w:style>
  <w:style w:type="character" w:styleId="ListLabel30">
    <w:name w:val="ListLabel 30"/>
    <w:qFormat/>
    <w:rPr>
      <w:rFonts w:cs="OpenSymbol"/>
    </w:rPr>
  </w:style>
  <w:style w:type="character" w:styleId="ListLabel31">
    <w:name w:val="ListLabel 31"/>
    <w:qFormat/>
    <w:rPr>
      <w:rFonts w:cs="OpenSymbol"/>
    </w:rPr>
  </w:style>
  <w:style w:type="character" w:styleId="ListLabel32">
    <w:name w:val="ListLabel 32"/>
    <w:qFormat/>
    <w:rPr>
      <w:rFonts w:cs="OpenSymbol"/>
    </w:rPr>
  </w:style>
  <w:style w:type="character" w:styleId="ListLabel33">
    <w:name w:val="ListLabel 33"/>
    <w:qFormat/>
    <w:rPr>
      <w:rFonts w:cs="OpenSymbol"/>
    </w:rPr>
  </w:style>
  <w:style w:type="character" w:styleId="ListLabel34">
    <w:name w:val="ListLabel 34"/>
    <w:qFormat/>
    <w:rPr>
      <w:rFonts w:cs="OpenSymbol"/>
    </w:rPr>
  </w:style>
  <w:style w:type="character" w:styleId="ListLabel35">
    <w:name w:val="ListLabel 35"/>
    <w:qFormat/>
    <w:rPr>
      <w:rFonts w:cs="OpenSymbol"/>
    </w:rPr>
  </w:style>
  <w:style w:type="character" w:styleId="ListLabel36">
    <w:name w:val="ListLabel 36"/>
    <w:qFormat/>
    <w:rPr>
      <w:rFonts w:cs="OpenSymbol"/>
    </w:rPr>
  </w:style>
  <w:style w:type="character" w:styleId="ListLabel37">
    <w:name w:val="ListLabel 37"/>
    <w:qFormat/>
    <w:rPr>
      <w:rFonts w:cs="OpenSymbol"/>
      <w:sz w:val="28"/>
    </w:rPr>
  </w:style>
  <w:style w:type="character" w:styleId="ListLabel38">
    <w:name w:val="ListLabel 38"/>
    <w:qFormat/>
    <w:rPr>
      <w:rFonts w:cs="OpenSymbol"/>
    </w:rPr>
  </w:style>
  <w:style w:type="character" w:styleId="ListLabel39">
    <w:name w:val="ListLabel 39"/>
    <w:qFormat/>
    <w:rPr>
      <w:rFonts w:cs="OpenSymbol"/>
    </w:rPr>
  </w:style>
  <w:style w:type="character" w:styleId="ListLabel40">
    <w:name w:val="ListLabel 40"/>
    <w:qFormat/>
    <w:rPr>
      <w:rFonts w:cs="OpenSymbol"/>
    </w:rPr>
  </w:style>
  <w:style w:type="character" w:styleId="ListLabel41">
    <w:name w:val="ListLabel 41"/>
    <w:qFormat/>
    <w:rPr>
      <w:rFonts w:cs="OpenSymbol"/>
    </w:rPr>
  </w:style>
  <w:style w:type="character" w:styleId="ListLabel42">
    <w:name w:val="ListLabel 42"/>
    <w:qFormat/>
    <w:rPr>
      <w:rFonts w:cs="OpenSymbol"/>
    </w:rPr>
  </w:style>
  <w:style w:type="character" w:styleId="ListLabel43">
    <w:name w:val="ListLabel 43"/>
    <w:qFormat/>
    <w:rPr>
      <w:rFonts w:cs="OpenSymbol"/>
    </w:rPr>
  </w:style>
  <w:style w:type="character" w:styleId="ListLabel44">
    <w:name w:val="ListLabel 44"/>
    <w:qFormat/>
    <w:rPr>
      <w:rFonts w:cs="OpenSymbol"/>
    </w:rPr>
  </w:style>
  <w:style w:type="character" w:styleId="ListLabel45">
    <w:name w:val="ListLabel 45"/>
    <w:qFormat/>
    <w:rPr>
      <w:rFonts w:cs="OpenSymbol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LibreOffice/5.2.1.2$Windows_x86 LibreOffice_project/31dd62db80d4e60af04904455ec9c9219178d620</Application>
  <Pages>9</Pages>
  <Words>1123</Words>
  <Characters>7737</Characters>
  <CharactersWithSpaces>9384</CharactersWithSpaces>
  <Paragraphs>153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2012-01-20T12:33:00Z</dcterms:created>
  <dc:creator>Александр</dc:creator>
  <dc:description/>
  <dc:language>ru-RU</dc:language>
  <cp:lastModifiedBy>Александр</cp:lastModifiedBy>
  <dcterms:modified xsi:type="dcterms:W3CDTF">2012-01-20T12:34:00Z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